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2496" w14:textId="77777777" w:rsidR="005075E8" w:rsidRPr="00D16F91" w:rsidRDefault="005075E8" w:rsidP="005075E8">
      <w:pPr>
        <w:pStyle w:val="Didascalia"/>
        <w:framePr w:w="8213" w:h="1529" w:hRule="exact" w:wrap="around" w:x="1992" w:y="-2915"/>
        <w:rPr>
          <w:rFonts w:ascii="Californian FB" w:hAnsi="Californian FB"/>
          <w:b w:val="0"/>
          <w:sz w:val="16"/>
          <w:szCs w:val="16"/>
        </w:rPr>
      </w:pPr>
      <w:bookmarkStart w:id="0" w:name="_GoBack"/>
      <w:bookmarkEnd w:id="0"/>
      <w:r w:rsidRPr="00D16F91">
        <w:rPr>
          <w:rFonts w:ascii="Californian FB" w:hAnsi="Californian FB"/>
          <w:b w:val="0"/>
          <w:sz w:val="16"/>
          <w:szCs w:val="16"/>
        </w:rPr>
        <w:tab/>
      </w:r>
      <w:r w:rsidRPr="00D16F91">
        <w:rPr>
          <w:rFonts w:ascii="Californian FB" w:hAnsi="Californian FB"/>
          <w:b w:val="0"/>
          <w:sz w:val="16"/>
          <w:szCs w:val="16"/>
        </w:rPr>
        <w:tab/>
      </w:r>
      <w:r w:rsidRPr="00D16F91">
        <w:rPr>
          <w:rFonts w:ascii="Californian FB" w:hAnsi="Californian FB"/>
          <w:b w:val="0"/>
          <w:sz w:val="16"/>
          <w:szCs w:val="16"/>
        </w:rPr>
        <w:tab/>
      </w:r>
    </w:p>
    <w:p w14:paraId="0FFB761F" w14:textId="77777777" w:rsidR="005075E8" w:rsidRPr="00D16F91" w:rsidRDefault="005075E8" w:rsidP="005075E8">
      <w:pPr>
        <w:rPr>
          <w:rFonts w:ascii="Californian FB" w:hAnsi="Californian FB"/>
          <w:b/>
          <w:sz w:val="12"/>
        </w:rPr>
      </w:pPr>
    </w:p>
    <w:p w14:paraId="3CEF3ED5" w14:textId="77777777" w:rsidR="005075E8" w:rsidRPr="00B2389C" w:rsidRDefault="005075E8" w:rsidP="005075E8">
      <w:pPr>
        <w:pStyle w:val="Intestazione"/>
        <w:ind w:left="-142"/>
        <w:jc w:val="center"/>
        <w:rPr>
          <w:rFonts w:ascii="Californian FB" w:hAnsi="Californian FB"/>
          <w:b/>
          <w:sz w:val="20"/>
          <w:szCs w:val="20"/>
        </w:rPr>
      </w:pPr>
      <w:r w:rsidRPr="00B2389C">
        <w:rPr>
          <w:noProof/>
          <w:sz w:val="16"/>
          <w:szCs w:val="16"/>
        </w:rPr>
        <w:drawing>
          <wp:inline distT="0" distB="0" distL="0" distR="0" wp14:anchorId="1D9829EC" wp14:editId="718CF708">
            <wp:extent cx="482600" cy="647700"/>
            <wp:effectExtent l="0" t="0" r="0" b="12700"/>
            <wp:docPr id="1" name="Immagine 1" descr="Benvenuti in QUI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venuti in QUIreg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r="7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14A345D" w14:textId="77777777" w:rsidR="005075E8" w:rsidRPr="00B2389C" w:rsidRDefault="005075E8" w:rsidP="005075E8">
      <w:pPr>
        <w:pStyle w:val="Intestazione"/>
        <w:jc w:val="center"/>
        <w:rPr>
          <w:rFonts w:ascii="Californian FB" w:hAnsi="Californian FB"/>
          <w:b/>
          <w:sz w:val="20"/>
          <w:szCs w:val="20"/>
        </w:rPr>
      </w:pPr>
      <w:r w:rsidRPr="00B2389C">
        <w:rPr>
          <w:rFonts w:ascii="Californian FB" w:hAnsi="Californian FB"/>
          <w:b/>
          <w:sz w:val="20"/>
          <w:szCs w:val="20"/>
        </w:rPr>
        <w:t>REGIONE PUGLIA</w:t>
      </w:r>
    </w:p>
    <w:p w14:paraId="56C7BC75" w14:textId="77777777" w:rsidR="005075E8" w:rsidRPr="00B2389C" w:rsidRDefault="00D25D07" w:rsidP="009405DE">
      <w:pPr>
        <w:pStyle w:val="Intestazione"/>
        <w:tabs>
          <w:tab w:val="left" w:pos="533"/>
          <w:tab w:val="center" w:pos="4890"/>
        </w:tabs>
        <w:rPr>
          <w:rFonts w:ascii="Californian FB" w:hAnsi="Californian FB"/>
          <w:b/>
          <w:i/>
          <w:sz w:val="14"/>
          <w:szCs w:val="14"/>
        </w:rPr>
      </w:pPr>
      <w:r w:rsidRPr="00B2389C">
        <w:rPr>
          <w:rFonts w:ascii="Californian FB" w:hAnsi="Californian FB"/>
          <w:b/>
          <w:sz w:val="14"/>
          <w:szCs w:val="14"/>
        </w:rPr>
        <w:tab/>
      </w:r>
      <w:r w:rsidRPr="00B2389C">
        <w:rPr>
          <w:rFonts w:ascii="Californian FB" w:hAnsi="Californian FB"/>
          <w:b/>
          <w:sz w:val="14"/>
          <w:szCs w:val="14"/>
        </w:rPr>
        <w:tab/>
      </w:r>
      <w:r w:rsidR="009405DE">
        <w:rPr>
          <w:rFonts w:ascii="Californian FB" w:hAnsi="Californian FB"/>
          <w:b/>
          <w:sz w:val="14"/>
          <w:szCs w:val="14"/>
        </w:rPr>
        <w:t xml:space="preserve">     </w:t>
      </w:r>
      <w:r w:rsidR="005075E8" w:rsidRPr="00B2389C">
        <w:rPr>
          <w:rFonts w:ascii="Californian FB" w:hAnsi="Californian FB"/>
          <w:b/>
          <w:sz w:val="14"/>
          <w:szCs w:val="14"/>
        </w:rPr>
        <w:t>A</w:t>
      </w:r>
      <w:r w:rsidR="009405DE">
        <w:rPr>
          <w:rFonts w:ascii="Californian FB" w:hAnsi="Californian FB"/>
          <w:b/>
          <w:sz w:val="14"/>
          <w:szCs w:val="14"/>
        </w:rPr>
        <w:t>ssessorato al Lavoro</w:t>
      </w:r>
    </w:p>
    <w:p w14:paraId="4795CB31" w14:textId="77777777" w:rsidR="005075E8" w:rsidRPr="00B2389C" w:rsidRDefault="005075E8" w:rsidP="005075E8">
      <w:pPr>
        <w:jc w:val="center"/>
        <w:rPr>
          <w:rFonts w:ascii="Californian FB" w:hAnsi="Californian FB" w:cs="Tahoma"/>
          <w:b/>
          <w:sz w:val="20"/>
          <w:szCs w:val="20"/>
        </w:rPr>
      </w:pPr>
    </w:p>
    <w:p w14:paraId="58A0E5D9" w14:textId="77777777" w:rsidR="005075E8" w:rsidRPr="00B2389C" w:rsidRDefault="005075E8" w:rsidP="005075E8">
      <w:pPr>
        <w:jc w:val="center"/>
        <w:rPr>
          <w:rFonts w:ascii="Californian FB" w:hAnsi="Californian FB" w:cs="Tahoma"/>
          <w:b/>
          <w:sz w:val="20"/>
          <w:szCs w:val="20"/>
        </w:rPr>
      </w:pPr>
    </w:p>
    <w:p w14:paraId="2F9EA7E0" w14:textId="77777777" w:rsidR="005075E8" w:rsidRPr="00B2389C" w:rsidRDefault="005075E8" w:rsidP="005075E8">
      <w:pPr>
        <w:jc w:val="center"/>
        <w:rPr>
          <w:rFonts w:ascii="Verdana" w:hAnsi="Verdana" w:cs="Tahoma"/>
          <w:b/>
          <w:sz w:val="20"/>
          <w:szCs w:val="20"/>
        </w:rPr>
      </w:pPr>
      <w:r w:rsidRPr="00B2389C">
        <w:rPr>
          <w:rFonts w:ascii="Verdana" w:hAnsi="Verdana" w:cs="Tahoma"/>
          <w:b/>
          <w:sz w:val="20"/>
          <w:szCs w:val="20"/>
        </w:rPr>
        <w:t>VERBALE DI ACCORDO</w:t>
      </w:r>
    </w:p>
    <w:p w14:paraId="749B0162" w14:textId="77777777" w:rsidR="005075E8" w:rsidRPr="00B2389C" w:rsidRDefault="005075E8" w:rsidP="005075E8">
      <w:pPr>
        <w:jc w:val="both"/>
        <w:rPr>
          <w:rFonts w:ascii="Verdana" w:hAnsi="Verdana" w:cs="Tahoma"/>
          <w:sz w:val="20"/>
          <w:szCs w:val="20"/>
        </w:rPr>
      </w:pPr>
    </w:p>
    <w:p w14:paraId="7990F19A" w14:textId="77777777" w:rsidR="005075E8" w:rsidRPr="00575330" w:rsidRDefault="005075E8" w:rsidP="005075E8">
      <w:pPr>
        <w:ind w:firstLine="720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 xml:space="preserve">Il giorno </w:t>
      </w:r>
      <w:r w:rsidR="00541AFB">
        <w:rPr>
          <w:rFonts w:ascii="Verdana" w:hAnsi="Verdana" w:cs="Arial"/>
          <w:sz w:val="20"/>
          <w:szCs w:val="20"/>
        </w:rPr>
        <w:t xml:space="preserve">19 dicembre </w:t>
      </w:r>
      <w:r w:rsidRPr="00575330">
        <w:rPr>
          <w:rFonts w:ascii="Verdana" w:hAnsi="Verdana" w:cs="Arial"/>
          <w:sz w:val="20"/>
          <w:szCs w:val="20"/>
        </w:rPr>
        <w:t>2013</w:t>
      </w:r>
      <w:r w:rsidR="005C3E78" w:rsidRPr="00575330">
        <w:rPr>
          <w:rFonts w:ascii="Verdana" w:hAnsi="Verdana" w:cs="Arial"/>
          <w:sz w:val="20"/>
          <w:szCs w:val="20"/>
        </w:rPr>
        <w:t>,</w:t>
      </w:r>
      <w:r w:rsidRPr="00575330">
        <w:rPr>
          <w:rFonts w:ascii="Verdana" w:hAnsi="Verdana" w:cs="Arial"/>
          <w:sz w:val="20"/>
          <w:szCs w:val="20"/>
        </w:rPr>
        <w:t xml:space="preserve"> presso </w:t>
      </w:r>
      <w:r w:rsidR="00541AFB">
        <w:rPr>
          <w:rFonts w:ascii="Verdana" w:hAnsi="Verdana" w:cs="Arial"/>
          <w:sz w:val="20"/>
          <w:szCs w:val="20"/>
        </w:rPr>
        <w:t>la sede del Consiglio Regionale</w:t>
      </w:r>
      <w:r w:rsidRPr="00575330">
        <w:rPr>
          <w:rFonts w:ascii="Verdana" w:hAnsi="Verdana" w:cs="Arial"/>
          <w:sz w:val="20"/>
          <w:szCs w:val="20"/>
        </w:rPr>
        <w:t xml:space="preserve"> della Puglia, alla presenza dell'Assessore al Lavoro, </w:t>
      </w:r>
      <w:r w:rsidR="005C3E78" w:rsidRPr="00575330">
        <w:rPr>
          <w:rFonts w:ascii="Verdana" w:hAnsi="Verdana" w:cs="Arial"/>
          <w:sz w:val="20"/>
          <w:szCs w:val="20"/>
        </w:rPr>
        <w:t>Leo Caroli</w:t>
      </w:r>
      <w:r w:rsidRPr="00575330">
        <w:rPr>
          <w:rFonts w:ascii="Verdana" w:hAnsi="Verdana" w:cs="Arial"/>
          <w:sz w:val="20"/>
          <w:szCs w:val="20"/>
        </w:rPr>
        <w:t>, si sono incontrate le organizzazioni sindacali e le organizzazioni datoriali di seguito indicate:</w:t>
      </w:r>
    </w:p>
    <w:p w14:paraId="48919B74" w14:textId="77777777" w:rsidR="005075E8" w:rsidRPr="00575330" w:rsidRDefault="005075E8" w:rsidP="005075E8">
      <w:pPr>
        <w:jc w:val="both"/>
        <w:rPr>
          <w:rFonts w:ascii="Verdana" w:hAnsi="Verdana" w:cs="Arial"/>
          <w:sz w:val="20"/>
          <w:szCs w:val="20"/>
        </w:rPr>
      </w:pPr>
    </w:p>
    <w:p w14:paraId="15058A62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CONFARTIGIANATO PUGLIA</w:t>
      </w:r>
    </w:p>
    <w:p w14:paraId="109A91E5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LEGA COOP</w:t>
      </w:r>
    </w:p>
    <w:p w14:paraId="14DBABD3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CONFCOOPERATIVE PUGLIA</w:t>
      </w:r>
    </w:p>
    <w:p w14:paraId="4A5B88E1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CONFPROFESSIONI PUGLIA</w:t>
      </w:r>
    </w:p>
    <w:p w14:paraId="349F07AA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CONFINDUSTRIA PUGLIA</w:t>
      </w:r>
    </w:p>
    <w:p w14:paraId="53F5DC20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ABI PUGLIA</w:t>
      </w:r>
    </w:p>
    <w:p w14:paraId="1A0A8986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CNA PUGLIA</w:t>
      </w:r>
    </w:p>
    <w:p w14:paraId="214AA19D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CONFARTIGIANATO PUGLIA</w:t>
      </w:r>
    </w:p>
    <w:p w14:paraId="4726C5E6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CONFAPI PUGLIA</w:t>
      </w:r>
    </w:p>
    <w:p w14:paraId="3582D56F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CONFCOMMERCIO PUGLIA</w:t>
      </w:r>
    </w:p>
    <w:p w14:paraId="7742C4BC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CONFESERCENTI PUGLIA</w:t>
      </w:r>
    </w:p>
    <w:p w14:paraId="57825017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CLAI PUGLIA</w:t>
      </w:r>
    </w:p>
    <w:p w14:paraId="3D475C7F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CGIL PUGLIA</w:t>
      </w:r>
    </w:p>
    <w:p w14:paraId="75B43B51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CISL PUGLIA</w:t>
      </w:r>
    </w:p>
    <w:p w14:paraId="1E5481B2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UIL PUGLIA</w:t>
      </w:r>
    </w:p>
    <w:p w14:paraId="2B005977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CISAL PUGLIA</w:t>
      </w:r>
    </w:p>
    <w:p w14:paraId="4774EEDD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UGL PUGLIA</w:t>
      </w:r>
    </w:p>
    <w:p w14:paraId="6BFC7CCF" w14:textId="77777777" w:rsidR="005075E8" w:rsidRPr="00575330" w:rsidRDefault="005075E8" w:rsidP="005075E8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INPS PUGLIA</w:t>
      </w:r>
    </w:p>
    <w:p w14:paraId="504CF9F3" w14:textId="77777777" w:rsidR="005075E8" w:rsidRPr="00575330" w:rsidRDefault="005075E8" w:rsidP="005075E8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b/>
          <w:sz w:val="20"/>
          <w:szCs w:val="20"/>
        </w:rPr>
        <w:t xml:space="preserve">VISTI </w:t>
      </w:r>
    </w:p>
    <w:p w14:paraId="341DB6B8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 xml:space="preserve">l'art. 2, co. 36, legge 22 dicembre 2008 n. 203 e s.m.i.; </w:t>
      </w:r>
    </w:p>
    <w:p w14:paraId="72F789B5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 xml:space="preserve">l'art. 19, decreto legge 29 novembre 2008, n. 185 convertito, con modificazioni, con la legge 28 gennaio 2009, n. 2 e s.m.i.; </w:t>
      </w:r>
    </w:p>
    <w:p w14:paraId="1D6ACEEE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l'art. 7-</w:t>
      </w:r>
      <w:r w:rsidRPr="00575330">
        <w:rPr>
          <w:rFonts w:ascii="Verdana" w:hAnsi="Verdana" w:cs="Arial"/>
          <w:i/>
          <w:sz w:val="20"/>
          <w:szCs w:val="20"/>
        </w:rPr>
        <w:t>ter</w:t>
      </w:r>
      <w:r w:rsidRPr="00575330">
        <w:rPr>
          <w:rFonts w:ascii="Verdana" w:hAnsi="Verdana" w:cs="Arial"/>
          <w:sz w:val="20"/>
          <w:szCs w:val="20"/>
        </w:rPr>
        <w:t xml:space="preserve">, decreto legge 10 febbraio 2009, n. 5 convertito, con modificazioni, con la legge 9 aprile 2009, n. 33 e s.m.i.; </w:t>
      </w:r>
    </w:p>
    <w:p w14:paraId="259142C6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 xml:space="preserve">l'art. 2, commi da 136 a 141, legge 23 dicembre 2009 n. 191 e s.m.i.; </w:t>
      </w:r>
    </w:p>
    <w:p w14:paraId="50BB7641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lastRenderedPageBreak/>
        <w:t xml:space="preserve">l'art. 1, commi da 29 a 34, legge 13 dicembre 2010 n. 220; </w:t>
      </w:r>
    </w:p>
    <w:p w14:paraId="42B46AAA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l’art. 18, decreto legge n. 607 del 2011, convertito con modificazioni dall’art. 1, legge n. 111 del 15.07.2011;</w:t>
      </w:r>
    </w:p>
    <w:p w14:paraId="1E6CC770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 xml:space="preserve">l'Accordo per gli ammortizzatori sociali in deroga stipulato il 27 aprile 2009 e le successive modifiche e integrazioni; </w:t>
      </w:r>
    </w:p>
    <w:p w14:paraId="4E2BD8B2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l'intesa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Stato - Regioni sottoscritta in data 26 novembre 2012</w:t>
      </w:r>
    </w:p>
    <w:p w14:paraId="032509AC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l'accordo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Regione Parti sociali del 29 giugno 2011 </w:t>
      </w:r>
    </w:p>
    <w:p w14:paraId="3EF0B944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la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legge n. 183 dell’11 novembre 2011.</w:t>
      </w:r>
    </w:p>
    <w:p w14:paraId="34003EDF" w14:textId="77777777" w:rsidR="005075E8" w:rsidRPr="00575330" w:rsidRDefault="005075E8" w:rsidP="00575330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l’ art.</w:t>
      </w:r>
      <w:proofErr w:type="gramEnd"/>
      <w:r w:rsidRPr="00575330">
        <w:rPr>
          <w:rFonts w:ascii="Verdana" w:hAnsi="Verdana" w:cs="Arial"/>
          <w:sz w:val="20"/>
          <w:szCs w:val="20"/>
        </w:rPr>
        <w:t>3 comma 17 della legge n.92/2012</w:t>
      </w:r>
    </w:p>
    <w:p w14:paraId="0878C157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il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documento condiviso tra le Regioni e P.A. per la gestione degli ammortizzatori in deroga 2013 nel corso del Coordinamento tecnico del 30 gennaio 2013</w:t>
      </w:r>
      <w:r w:rsidR="0066076E" w:rsidRPr="00575330">
        <w:rPr>
          <w:rFonts w:ascii="Verdana" w:hAnsi="Verdana" w:cs="Arial"/>
          <w:sz w:val="20"/>
          <w:szCs w:val="20"/>
        </w:rPr>
        <w:t>;</w:t>
      </w:r>
    </w:p>
    <w:p w14:paraId="1B9DCF4B" w14:textId="77777777" w:rsidR="005075E8" w:rsidRPr="00575330" w:rsidRDefault="005075E8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la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Legge 24 dicembre 2012 n. 228, pubblicata sulla Gazzetta uffici</w:t>
      </w:r>
      <w:r w:rsidR="00F84EE1" w:rsidRPr="00575330">
        <w:rPr>
          <w:rFonts w:ascii="Verdana" w:hAnsi="Verdana" w:cs="Arial"/>
          <w:sz w:val="20"/>
          <w:szCs w:val="20"/>
        </w:rPr>
        <w:t>ale n. 302 del 29 dicembre 2012;</w:t>
      </w:r>
    </w:p>
    <w:p w14:paraId="10263BED" w14:textId="77777777" w:rsidR="00F84EE1" w:rsidRPr="00575330" w:rsidRDefault="00F84EE1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l’accordo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sottoscritto il 14 febbraio 2013 tra il Ministero del Lavoro e la Regione Puglia con il quale sono stati destinati 61.853.298,40 milioni di euro a valere sui fondi nazionali per la concessione o per la proroga in</w:t>
      </w:r>
      <w:r w:rsidR="00541AFB">
        <w:rPr>
          <w:rFonts w:ascii="Verdana" w:hAnsi="Verdana" w:cs="Arial"/>
          <w:sz w:val="20"/>
          <w:szCs w:val="20"/>
        </w:rPr>
        <w:t xml:space="preserve"> d</w:t>
      </w:r>
      <w:r w:rsidRPr="00575330">
        <w:rPr>
          <w:rFonts w:ascii="Verdana" w:hAnsi="Verdana" w:cs="Arial"/>
          <w:sz w:val="20"/>
          <w:szCs w:val="20"/>
        </w:rPr>
        <w:t>eroga alla vigente normativa degli ammortizzatori sociali;</w:t>
      </w:r>
    </w:p>
    <w:p w14:paraId="25D5B81C" w14:textId="77777777" w:rsidR="00F84EE1" w:rsidRPr="00575330" w:rsidRDefault="00F84EE1" w:rsidP="005075E8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i</w:t>
      </w:r>
      <w:proofErr w:type="gramEnd"/>
      <w:r w:rsidRPr="00575330">
        <w:rPr>
          <w:rFonts w:ascii="Verdana" w:hAnsi="Verdana" w:cs="Arial"/>
          <w:sz w:val="20"/>
          <w:szCs w:val="20"/>
        </w:rPr>
        <w:t xml:space="preserve"> successivi stanziamenti destinati alla Regione Puglia</w:t>
      </w:r>
      <w:r w:rsidR="00E541B7" w:rsidRPr="00575330">
        <w:rPr>
          <w:rFonts w:ascii="Verdana" w:hAnsi="Verdana" w:cs="Arial"/>
          <w:sz w:val="20"/>
          <w:szCs w:val="20"/>
        </w:rPr>
        <w:t>;</w:t>
      </w:r>
    </w:p>
    <w:p w14:paraId="1304C8D1" w14:textId="77777777" w:rsidR="00F84EE1" w:rsidRPr="00575330" w:rsidRDefault="00E541B7" w:rsidP="00F84EE1">
      <w:pPr>
        <w:widowControl w:val="0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575330">
        <w:rPr>
          <w:rFonts w:ascii="Verdana" w:hAnsi="Verdana" w:cs="Arial"/>
          <w:sz w:val="20"/>
          <w:szCs w:val="20"/>
        </w:rPr>
        <w:t>i</w:t>
      </w:r>
      <w:r w:rsidR="00F84EE1" w:rsidRPr="00575330">
        <w:rPr>
          <w:rFonts w:ascii="Verdana" w:hAnsi="Verdana" w:cs="Arial"/>
          <w:sz w:val="20"/>
          <w:szCs w:val="20"/>
        </w:rPr>
        <w:t>l</w:t>
      </w:r>
      <w:proofErr w:type="gramEnd"/>
      <w:r w:rsidR="007F7A62">
        <w:rPr>
          <w:rFonts w:ascii="Verdana" w:hAnsi="Verdana" w:cs="Arial"/>
          <w:sz w:val="20"/>
          <w:szCs w:val="20"/>
        </w:rPr>
        <w:t xml:space="preserve"> </w:t>
      </w:r>
      <w:r w:rsidR="00F84EE1" w:rsidRPr="00575330">
        <w:rPr>
          <w:rFonts w:ascii="Verdana" w:hAnsi="Verdana" w:cs="Arial"/>
          <w:sz w:val="20"/>
          <w:szCs w:val="20"/>
        </w:rPr>
        <w:t>D.l. n. 54 del 21 maggio 2013 recante interventi urgenti in tema di rifinanziamento degli ammortizzatori sociali in deroga.</w:t>
      </w:r>
    </w:p>
    <w:p w14:paraId="3998A7B5" w14:textId="77777777" w:rsidR="005D4A6D" w:rsidRPr="00575330" w:rsidRDefault="005D4A6D" w:rsidP="001043AE">
      <w:pPr>
        <w:jc w:val="both"/>
        <w:rPr>
          <w:rFonts w:ascii="Verdana" w:hAnsi="Verdana" w:cs="Arial"/>
          <w:sz w:val="20"/>
          <w:szCs w:val="20"/>
        </w:rPr>
      </w:pPr>
    </w:p>
    <w:p w14:paraId="3066A3EB" w14:textId="77777777" w:rsidR="005075E8" w:rsidRPr="00575330" w:rsidRDefault="005075E8" w:rsidP="001043AE">
      <w:pPr>
        <w:jc w:val="both"/>
        <w:rPr>
          <w:rFonts w:ascii="Verdana" w:hAnsi="Verdana" w:cs="Arial"/>
          <w:sz w:val="20"/>
          <w:szCs w:val="20"/>
        </w:rPr>
      </w:pPr>
    </w:p>
    <w:p w14:paraId="02DE4735" w14:textId="782EDAEC" w:rsidR="00CF5BFA" w:rsidRDefault="00C824FE" w:rsidP="00954312">
      <w:pPr>
        <w:jc w:val="both"/>
        <w:rPr>
          <w:rFonts w:ascii="Verdana" w:hAnsi="Verdana" w:cs="Arial"/>
          <w:sz w:val="20"/>
          <w:szCs w:val="20"/>
        </w:rPr>
      </w:pPr>
      <w:r w:rsidRPr="00473DD7">
        <w:rPr>
          <w:rFonts w:ascii="Verdana" w:hAnsi="Verdana" w:cs="Arial"/>
          <w:sz w:val="20"/>
          <w:szCs w:val="20"/>
        </w:rPr>
        <w:t>Le Parti</w:t>
      </w:r>
      <w:r w:rsidR="00CF5BFA" w:rsidRPr="00473DD7">
        <w:rPr>
          <w:rFonts w:ascii="Verdana" w:hAnsi="Verdana" w:cs="Arial"/>
          <w:sz w:val="20"/>
          <w:szCs w:val="20"/>
        </w:rPr>
        <w:t xml:space="preserve">, </w:t>
      </w:r>
      <w:r w:rsidR="00100D35" w:rsidRPr="00473DD7">
        <w:rPr>
          <w:rFonts w:ascii="Verdana" w:hAnsi="Verdana" w:cs="Arial"/>
          <w:sz w:val="20"/>
          <w:szCs w:val="20"/>
        </w:rPr>
        <w:t xml:space="preserve">ribadiscono ancora una volta </w:t>
      </w:r>
      <w:r w:rsidR="0082531E" w:rsidRPr="00473DD7">
        <w:rPr>
          <w:rFonts w:ascii="Verdana" w:hAnsi="Verdana" w:cs="Arial"/>
          <w:b/>
          <w:sz w:val="20"/>
          <w:szCs w:val="20"/>
        </w:rPr>
        <w:t>l’</w:t>
      </w:r>
      <w:r w:rsidR="005075E8" w:rsidRPr="00473DD7">
        <w:rPr>
          <w:rFonts w:ascii="Verdana" w:hAnsi="Verdana" w:cs="Arial"/>
          <w:b/>
          <w:sz w:val="20"/>
          <w:szCs w:val="20"/>
        </w:rPr>
        <w:t>assoluta insufficienza delle risorse</w:t>
      </w:r>
      <w:r w:rsidR="005075E8" w:rsidRPr="00473DD7">
        <w:rPr>
          <w:rFonts w:ascii="Verdana" w:hAnsi="Verdana" w:cs="Arial"/>
          <w:sz w:val="20"/>
          <w:szCs w:val="20"/>
        </w:rPr>
        <w:t xml:space="preserve"> sin qui attribuite dal Governo per gli ammortizzatori in deroga regionali, </w:t>
      </w:r>
      <w:r w:rsidR="00C619A2" w:rsidRPr="00473DD7">
        <w:rPr>
          <w:rFonts w:ascii="Verdana" w:hAnsi="Verdana" w:cs="Arial"/>
          <w:sz w:val="20"/>
          <w:szCs w:val="20"/>
        </w:rPr>
        <w:t>che risultano</w:t>
      </w:r>
      <w:r w:rsidR="00541AFB" w:rsidRPr="00473DD7">
        <w:rPr>
          <w:rFonts w:ascii="Verdana" w:hAnsi="Verdana" w:cs="Arial"/>
          <w:sz w:val="20"/>
          <w:szCs w:val="20"/>
        </w:rPr>
        <w:t xml:space="preserve"> </w:t>
      </w:r>
      <w:r w:rsidR="00726C12" w:rsidRPr="00473DD7">
        <w:rPr>
          <w:rFonts w:ascii="Verdana" w:hAnsi="Verdana" w:cs="Arial"/>
          <w:sz w:val="20"/>
          <w:szCs w:val="20"/>
        </w:rPr>
        <w:t xml:space="preserve">totalmente </w:t>
      </w:r>
      <w:r w:rsidR="001043AE" w:rsidRPr="00473DD7">
        <w:rPr>
          <w:rFonts w:ascii="Verdana" w:hAnsi="Verdana" w:cs="Arial"/>
          <w:sz w:val="20"/>
          <w:szCs w:val="20"/>
        </w:rPr>
        <w:t xml:space="preserve">insufficienti a coprire le richieste </w:t>
      </w:r>
      <w:r w:rsidR="00C619A2" w:rsidRPr="00473DD7">
        <w:rPr>
          <w:rFonts w:ascii="Verdana" w:hAnsi="Verdana" w:cs="Arial"/>
          <w:sz w:val="20"/>
          <w:szCs w:val="20"/>
        </w:rPr>
        <w:t xml:space="preserve">sin qui </w:t>
      </w:r>
      <w:r w:rsidR="001043AE" w:rsidRPr="00473DD7">
        <w:rPr>
          <w:rFonts w:ascii="Verdana" w:hAnsi="Verdana" w:cs="Arial"/>
          <w:sz w:val="20"/>
          <w:szCs w:val="20"/>
        </w:rPr>
        <w:t>pervenute</w:t>
      </w:r>
      <w:r w:rsidR="00C619A2" w:rsidRPr="00473DD7">
        <w:rPr>
          <w:rFonts w:ascii="Verdana" w:hAnsi="Verdana" w:cs="Arial"/>
          <w:sz w:val="20"/>
          <w:szCs w:val="20"/>
        </w:rPr>
        <w:t xml:space="preserve"> e riba</w:t>
      </w:r>
      <w:r w:rsidRPr="00473DD7">
        <w:rPr>
          <w:rFonts w:ascii="Verdana" w:hAnsi="Verdana" w:cs="Arial"/>
          <w:sz w:val="20"/>
          <w:szCs w:val="20"/>
        </w:rPr>
        <w:t>discono la assoluta necessità</w:t>
      </w:r>
      <w:r w:rsidR="00541AFB" w:rsidRPr="00473DD7">
        <w:rPr>
          <w:rFonts w:ascii="Verdana" w:hAnsi="Verdana" w:cs="Arial"/>
          <w:sz w:val="20"/>
          <w:szCs w:val="20"/>
        </w:rPr>
        <w:t xml:space="preserve"> </w:t>
      </w:r>
      <w:r w:rsidR="00954312" w:rsidRPr="00473DD7">
        <w:rPr>
          <w:rFonts w:ascii="Verdana" w:hAnsi="Verdana" w:cs="Arial"/>
          <w:sz w:val="20"/>
          <w:szCs w:val="20"/>
        </w:rPr>
        <w:t xml:space="preserve">che </w:t>
      </w:r>
      <w:r w:rsidR="00954312" w:rsidRPr="00473DD7">
        <w:rPr>
          <w:rFonts w:ascii="Verdana" w:hAnsi="Verdana" w:cs="Arial"/>
          <w:b/>
          <w:sz w:val="20"/>
          <w:szCs w:val="20"/>
        </w:rPr>
        <w:t xml:space="preserve">il </w:t>
      </w:r>
      <w:r w:rsidR="00C2212F" w:rsidRPr="00473DD7">
        <w:rPr>
          <w:rFonts w:ascii="Verdana" w:hAnsi="Verdana" w:cs="Arial"/>
          <w:b/>
          <w:sz w:val="20"/>
          <w:szCs w:val="20"/>
        </w:rPr>
        <w:t xml:space="preserve">Governo </w:t>
      </w:r>
      <w:r w:rsidR="00954312" w:rsidRPr="00473DD7">
        <w:rPr>
          <w:rFonts w:ascii="Verdana" w:hAnsi="Verdana" w:cs="Arial"/>
          <w:b/>
          <w:sz w:val="20"/>
          <w:szCs w:val="20"/>
        </w:rPr>
        <w:t xml:space="preserve">nazionale </w:t>
      </w:r>
      <w:r w:rsidR="00C2212F" w:rsidRPr="00473DD7">
        <w:rPr>
          <w:rFonts w:ascii="Verdana" w:hAnsi="Verdana" w:cs="Arial"/>
          <w:b/>
          <w:sz w:val="20"/>
          <w:szCs w:val="20"/>
        </w:rPr>
        <w:t xml:space="preserve">provveda alla inderogabile attribuzione di </w:t>
      </w:r>
      <w:r w:rsidR="005075E8" w:rsidRPr="00473DD7">
        <w:rPr>
          <w:rFonts w:ascii="Verdana" w:hAnsi="Verdana" w:cs="Arial"/>
          <w:b/>
          <w:sz w:val="20"/>
          <w:szCs w:val="20"/>
        </w:rPr>
        <w:t>ulteriori indispensabili risorse</w:t>
      </w:r>
      <w:r w:rsidR="00F217B2" w:rsidRPr="00473DD7">
        <w:rPr>
          <w:rFonts w:ascii="Verdana" w:hAnsi="Verdana" w:cs="Arial"/>
          <w:sz w:val="20"/>
          <w:szCs w:val="20"/>
        </w:rPr>
        <w:t xml:space="preserve"> assicurando per tutti i lavoratori coinvolti il godimento dei trattamenti di sostegno al reddito</w:t>
      </w:r>
      <w:r w:rsidR="00196D4B" w:rsidRPr="00473DD7">
        <w:rPr>
          <w:rFonts w:ascii="Verdana" w:hAnsi="Verdana" w:cs="Arial"/>
          <w:sz w:val="20"/>
          <w:szCs w:val="20"/>
        </w:rPr>
        <w:t xml:space="preserve"> relativi alle annualità </w:t>
      </w:r>
      <w:r w:rsidR="00196D4B" w:rsidRPr="00793526">
        <w:rPr>
          <w:rFonts w:ascii="Verdana" w:hAnsi="Verdana" w:cs="Arial"/>
          <w:b/>
          <w:sz w:val="20"/>
          <w:szCs w:val="20"/>
        </w:rPr>
        <w:t>2012 e 2013</w:t>
      </w:r>
      <w:r w:rsidR="00196D4B" w:rsidRPr="00473DD7">
        <w:rPr>
          <w:rFonts w:ascii="Verdana" w:hAnsi="Verdana" w:cs="Arial"/>
          <w:sz w:val="20"/>
          <w:szCs w:val="20"/>
        </w:rPr>
        <w:t>.</w:t>
      </w:r>
      <w:r w:rsidR="00F217B2">
        <w:rPr>
          <w:rFonts w:ascii="Verdana" w:hAnsi="Verdana" w:cs="Arial"/>
          <w:sz w:val="20"/>
          <w:szCs w:val="20"/>
        </w:rPr>
        <w:t xml:space="preserve"> </w:t>
      </w:r>
    </w:p>
    <w:p w14:paraId="53B24479" w14:textId="77777777" w:rsidR="00157752" w:rsidRDefault="00157752" w:rsidP="00954312">
      <w:pPr>
        <w:jc w:val="both"/>
        <w:rPr>
          <w:rFonts w:ascii="Verdana" w:hAnsi="Verdana" w:cs="Arial"/>
          <w:sz w:val="20"/>
          <w:szCs w:val="20"/>
        </w:rPr>
      </w:pPr>
    </w:p>
    <w:p w14:paraId="1C7CBB6C" w14:textId="77777777" w:rsidR="00196D4B" w:rsidRDefault="00196D4B" w:rsidP="00954312">
      <w:pPr>
        <w:jc w:val="both"/>
        <w:rPr>
          <w:rFonts w:ascii="Verdana" w:hAnsi="Verdana" w:cs="Arial"/>
          <w:sz w:val="20"/>
          <w:szCs w:val="20"/>
        </w:rPr>
      </w:pPr>
    </w:p>
    <w:p w14:paraId="78F9B291" w14:textId="17F08D64" w:rsidR="00157752" w:rsidRDefault="009C543A" w:rsidP="0095431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Le Parti, inoltre, </w:t>
      </w:r>
      <w:r w:rsidR="002D7EFC">
        <w:rPr>
          <w:rFonts w:ascii="Verdana" w:hAnsi="Verdana" w:cs="Arial"/>
          <w:sz w:val="20"/>
          <w:szCs w:val="20"/>
        </w:rPr>
        <w:t>stabiliscono che</w:t>
      </w:r>
      <w:r w:rsidR="00157752">
        <w:rPr>
          <w:rFonts w:ascii="Verdana" w:hAnsi="Verdana" w:cs="Arial"/>
          <w:sz w:val="20"/>
          <w:szCs w:val="20"/>
        </w:rPr>
        <w:t>:</w:t>
      </w:r>
    </w:p>
    <w:p w14:paraId="1E445200" w14:textId="77777777" w:rsidR="00157752" w:rsidRDefault="00157752" w:rsidP="00954312">
      <w:pPr>
        <w:jc w:val="both"/>
        <w:rPr>
          <w:rFonts w:ascii="Verdana" w:hAnsi="Verdana" w:cs="Arial"/>
          <w:sz w:val="20"/>
          <w:szCs w:val="20"/>
        </w:rPr>
      </w:pPr>
    </w:p>
    <w:p w14:paraId="3E0A7E13" w14:textId="266B612D" w:rsidR="007F7A62" w:rsidRDefault="007F7A62" w:rsidP="007F7A62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F7A62">
        <w:rPr>
          <w:rFonts w:ascii="Verdana" w:hAnsi="Verdana" w:cs="Arial"/>
          <w:b/>
          <w:sz w:val="20"/>
          <w:szCs w:val="20"/>
        </w:rPr>
        <w:t>Cassa Integrazione in deroga</w:t>
      </w:r>
      <w:r w:rsidR="009C543A">
        <w:rPr>
          <w:rFonts w:ascii="Verdana" w:hAnsi="Verdana" w:cs="Arial"/>
          <w:sz w:val="20"/>
          <w:szCs w:val="20"/>
        </w:rPr>
        <w:t>.</w:t>
      </w:r>
    </w:p>
    <w:p w14:paraId="339381F5" w14:textId="77777777" w:rsidR="007F7A62" w:rsidRDefault="007F7A62" w:rsidP="007F7A62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14:paraId="3CED72CA" w14:textId="77777777" w:rsidR="007F7A62" w:rsidRDefault="007F7A62" w:rsidP="007F7A62">
      <w:pPr>
        <w:spacing w:after="100" w:afterAutospacing="1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036CD7">
        <w:rPr>
          <w:rFonts w:ascii="Verdana" w:hAnsi="Verdana" w:cs="Arial"/>
          <w:b/>
          <w:sz w:val="20"/>
          <w:szCs w:val="20"/>
          <w:u w:val="single"/>
        </w:rPr>
        <w:t>Con riferimento all’anno 2012</w:t>
      </w:r>
      <w:r>
        <w:rPr>
          <w:rFonts w:ascii="Verdana" w:hAnsi="Verdana" w:cs="Arial"/>
          <w:sz w:val="20"/>
          <w:szCs w:val="20"/>
        </w:rPr>
        <w:t xml:space="preserve">, </w:t>
      </w:r>
      <w:r w:rsidR="00157752" w:rsidRPr="007F7A62">
        <w:rPr>
          <w:rFonts w:ascii="Verdana" w:hAnsi="Verdana" w:cs="Arial"/>
          <w:sz w:val="20"/>
          <w:szCs w:val="20"/>
        </w:rPr>
        <w:t xml:space="preserve">le imprese non ammesse a fruire del trattamento di </w:t>
      </w:r>
      <w:proofErr w:type="spellStart"/>
      <w:r w:rsidR="00157752" w:rsidRPr="007F7A62">
        <w:rPr>
          <w:rFonts w:ascii="Verdana" w:hAnsi="Verdana" w:cs="Arial"/>
          <w:sz w:val="20"/>
          <w:szCs w:val="20"/>
        </w:rPr>
        <w:t>Cig</w:t>
      </w:r>
      <w:proofErr w:type="spellEnd"/>
      <w:r w:rsidR="00157752" w:rsidRPr="007F7A62">
        <w:rPr>
          <w:rFonts w:ascii="Verdana" w:hAnsi="Verdana" w:cs="Arial"/>
          <w:sz w:val="20"/>
          <w:szCs w:val="20"/>
        </w:rPr>
        <w:t xml:space="preserve"> in deroga potranno</w:t>
      </w:r>
      <w:r w:rsidR="00917549">
        <w:rPr>
          <w:rFonts w:ascii="Verdana" w:hAnsi="Verdana" w:cs="Arial"/>
          <w:sz w:val="20"/>
          <w:szCs w:val="20"/>
        </w:rPr>
        <w:t>, in sede di riesame,</w:t>
      </w:r>
      <w:r w:rsidR="00157752" w:rsidRPr="007F7A62">
        <w:rPr>
          <w:rFonts w:ascii="Verdana" w:hAnsi="Verdana" w:cs="Arial"/>
          <w:sz w:val="20"/>
          <w:szCs w:val="20"/>
        </w:rPr>
        <w:t xml:space="preserve"> ripresentare la documentazione in forma cartacea</w:t>
      </w:r>
      <w:r w:rsidR="00CF5BFA" w:rsidRPr="007F7A62">
        <w:rPr>
          <w:rFonts w:ascii="Verdana" w:hAnsi="Verdana" w:cs="Arial"/>
          <w:sz w:val="20"/>
          <w:szCs w:val="20"/>
        </w:rPr>
        <w:t xml:space="preserve"> </w:t>
      </w:r>
      <w:r w:rsidR="00157752" w:rsidRPr="007F7A62">
        <w:rPr>
          <w:rFonts w:ascii="Verdana" w:hAnsi="Verdana" w:cs="Arial"/>
          <w:sz w:val="20"/>
          <w:szCs w:val="20"/>
        </w:rPr>
        <w:t>inviando alla Regione Puglia</w:t>
      </w:r>
      <w:r>
        <w:rPr>
          <w:rFonts w:ascii="Verdana" w:hAnsi="Verdana" w:cs="Arial"/>
          <w:sz w:val="20"/>
          <w:szCs w:val="20"/>
        </w:rPr>
        <w:t xml:space="preserve"> </w:t>
      </w:r>
      <w:r w:rsidRPr="007F7A62">
        <w:rPr>
          <w:rFonts w:ascii="Verdana" w:hAnsi="Verdana"/>
          <w:color w:val="000000"/>
          <w:sz w:val="20"/>
          <w:szCs w:val="20"/>
        </w:rPr>
        <w:t>– Servizio Politiche per il Lavoro – Via Corigliano 1 ZI – BARI esclusivamente la prima pagina della domanda presentata su SINTESI e allegando i documenti mancanti in originale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F7A62">
        <w:rPr>
          <w:rFonts w:ascii="Verdana" w:hAnsi="Verdana"/>
          <w:b/>
          <w:color w:val="000000"/>
          <w:sz w:val="20"/>
          <w:szCs w:val="20"/>
          <w:u w:val="single"/>
        </w:rPr>
        <w:t xml:space="preserve">entro e non oltre il 31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dicembre</w:t>
      </w:r>
      <w:r w:rsidRPr="007F7A62">
        <w:rPr>
          <w:rFonts w:ascii="Verdana" w:hAnsi="Verdana"/>
          <w:b/>
          <w:color w:val="000000"/>
          <w:sz w:val="20"/>
          <w:szCs w:val="20"/>
          <w:u w:val="single"/>
        </w:rPr>
        <w:t xml:space="preserve"> 2013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.</w:t>
      </w:r>
      <w:r w:rsidRPr="00693029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Decorso</w:t>
      </w:r>
      <w:r w:rsidR="00917549">
        <w:rPr>
          <w:rFonts w:ascii="Verdana" w:hAnsi="Verdana"/>
          <w:color w:val="000000"/>
          <w:sz w:val="20"/>
          <w:szCs w:val="20"/>
        </w:rPr>
        <w:t xml:space="preserve"> inutilmente </w:t>
      </w:r>
      <w:r>
        <w:rPr>
          <w:rFonts w:ascii="Verdana" w:hAnsi="Verdana"/>
          <w:color w:val="000000"/>
          <w:sz w:val="20"/>
          <w:szCs w:val="20"/>
        </w:rPr>
        <w:t>ta</w:t>
      </w:r>
      <w:r w:rsidRPr="007F7A62">
        <w:rPr>
          <w:rFonts w:ascii="Verdana" w:hAnsi="Verdana"/>
          <w:color w:val="000000"/>
          <w:sz w:val="20"/>
          <w:szCs w:val="20"/>
        </w:rPr>
        <w:t>le</w:t>
      </w:r>
      <w:r>
        <w:rPr>
          <w:rFonts w:ascii="Verdana" w:hAnsi="Verdana"/>
          <w:color w:val="000000"/>
          <w:sz w:val="20"/>
          <w:szCs w:val="20"/>
        </w:rPr>
        <w:t xml:space="preserve"> termine</w:t>
      </w:r>
      <w:r w:rsidRPr="007F7A62">
        <w:rPr>
          <w:rFonts w:ascii="Verdana" w:hAnsi="Verdana"/>
          <w:color w:val="000000"/>
          <w:sz w:val="20"/>
          <w:szCs w:val="20"/>
        </w:rPr>
        <w:t xml:space="preserve"> </w:t>
      </w:r>
      <w:r w:rsidR="00980322">
        <w:rPr>
          <w:rFonts w:ascii="Verdana" w:hAnsi="Verdana"/>
          <w:color w:val="000000"/>
          <w:sz w:val="20"/>
          <w:szCs w:val="20"/>
        </w:rPr>
        <w:t xml:space="preserve">le </w:t>
      </w:r>
      <w:r w:rsidRPr="007F7A62">
        <w:rPr>
          <w:rFonts w:ascii="Verdana" w:hAnsi="Verdana"/>
          <w:color w:val="000000"/>
          <w:sz w:val="20"/>
          <w:szCs w:val="20"/>
        </w:rPr>
        <w:t>pratiche si intenderanno respinte definitivamente.</w:t>
      </w:r>
    </w:p>
    <w:p w14:paraId="7C59809A" w14:textId="77777777" w:rsidR="00917549" w:rsidRPr="00473DD7" w:rsidRDefault="00917549" w:rsidP="007F7A62">
      <w:pPr>
        <w:spacing w:after="100" w:afterAutospacing="1"/>
        <w:ind w:left="567"/>
        <w:jc w:val="both"/>
        <w:rPr>
          <w:rFonts w:ascii="Verdana" w:hAnsi="Verdana"/>
          <w:b/>
          <w:sz w:val="20"/>
          <w:szCs w:val="20"/>
        </w:rPr>
      </w:pPr>
      <w:r w:rsidRPr="00473DD7">
        <w:rPr>
          <w:rFonts w:ascii="Verdana" w:hAnsi="Verdana"/>
          <w:b/>
          <w:sz w:val="20"/>
          <w:szCs w:val="20"/>
        </w:rPr>
        <w:t xml:space="preserve">Accordo dell’01 </w:t>
      </w:r>
      <w:proofErr w:type="gramStart"/>
      <w:r w:rsidRPr="00473DD7">
        <w:rPr>
          <w:rFonts w:ascii="Verdana" w:hAnsi="Verdana"/>
          <w:b/>
          <w:sz w:val="20"/>
          <w:szCs w:val="20"/>
        </w:rPr>
        <w:t>febbraio  2013</w:t>
      </w:r>
      <w:proofErr w:type="gramEnd"/>
      <w:r w:rsidRPr="00473DD7">
        <w:rPr>
          <w:rFonts w:ascii="Verdana" w:hAnsi="Verdana"/>
          <w:b/>
          <w:sz w:val="20"/>
          <w:szCs w:val="20"/>
        </w:rPr>
        <w:t xml:space="preserve"> (Punto 5.1.2)</w:t>
      </w:r>
    </w:p>
    <w:p w14:paraId="10A79041" w14:textId="174B465A" w:rsidR="00917549" w:rsidRPr="00473DD7" w:rsidRDefault="00917549" w:rsidP="007F7A62">
      <w:pPr>
        <w:spacing w:after="100" w:afterAutospacing="1"/>
        <w:ind w:left="567"/>
        <w:jc w:val="both"/>
        <w:rPr>
          <w:rFonts w:ascii="Verdana" w:hAnsi="Verdana"/>
          <w:sz w:val="20"/>
          <w:szCs w:val="20"/>
        </w:rPr>
      </w:pPr>
      <w:r w:rsidRPr="00473DD7">
        <w:rPr>
          <w:rFonts w:ascii="Verdana" w:hAnsi="Verdana"/>
          <w:sz w:val="20"/>
          <w:szCs w:val="20"/>
        </w:rPr>
        <w:t xml:space="preserve">Le Parti, al fine di consentire </w:t>
      </w:r>
      <w:r w:rsidR="0019678A" w:rsidRPr="00473DD7">
        <w:rPr>
          <w:rFonts w:ascii="Verdana" w:hAnsi="Verdana"/>
          <w:sz w:val="20"/>
          <w:szCs w:val="20"/>
        </w:rPr>
        <w:t>un</w:t>
      </w:r>
      <w:r w:rsidR="00C34256" w:rsidRPr="00473DD7">
        <w:rPr>
          <w:rFonts w:ascii="Verdana" w:hAnsi="Verdana"/>
          <w:sz w:val="20"/>
          <w:szCs w:val="20"/>
        </w:rPr>
        <w:t>a sollecita definizione dei</w:t>
      </w:r>
      <w:r w:rsidR="0019678A" w:rsidRPr="00473DD7">
        <w:rPr>
          <w:rFonts w:ascii="Verdana" w:hAnsi="Verdana"/>
          <w:sz w:val="20"/>
          <w:szCs w:val="20"/>
        </w:rPr>
        <w:t xml:space="preserve"> riesame delle istanze non autorizzate per i motivi  di cui al punto 5.1.2 comma a) dell’Accordo 1 febbraio 2013, </w:t>
      </w:r>
      <w:r w:rsidR="00036CD7" w:rsidRPr="00473DD7">
        <w:rPr>
          <w:rFonts w:ascii="Verdana" w:hAnsi="Verdana"/>
          <w:sz w:val="20"/>
          <w:szCs w:val="20"/>
        </w:rPr>
        <w:t>ribadiscono</w:t>
      </w:r>
      <w:r w:rsidR="00541E3B">
        <w:rPr>
          <w:rFonts w:ascii="Verdana" w:hAnsi="Verdana"/>
          <w:sz w:val="20"/>
          <w:szCs w:val="20"/>
        </w:rPr>
        <w:t>,</w:t>
      </w:r>
      <w:r w:rsidR="00693029" w:rsidRPr="00473DD7">
        <w:rPr>
          <w:rFonts w:ascii="Verdana" w:hAnsi="Verdana"/>
          <w:sz w:val="20"/>
          <w:szCs w:val="20"/>
        </w:rPr>
        <w:t xml:space="preserve"> </w:t>
      </w:r>
      <w:r w:rsidR="00C34256" w:rsidRPr="00473DD7">
        <w:rPr>
          <w:rFonts w:ascii="Verdana" w:hAnsi="Verdana"/>
          <w:sz w:val="20"/>
          <w:szCs w:val="20"/>
        </w:rPr>
        <w:t>con specifico riferimento</w:t>
      </w:r>
      <w:r w:rsidR="00693029" w:rsidRPr="00473DD7">
        <w:rPr>
          <w:rFonts w:ascii="Verdana" w:hAnsi="Verdana"/>
          <w:sz w:val="20"/>
          <w:szCs w:val="20"/>
        </w:rPr>
        <w:t xml:space="preserve"> </w:t>
      </w:r>
      <w:r w:rsidR="00C34256" w:rsidRPr="00473DD7">
        <w:rPr>
          <w:rFonts w:ascii="Verdana" w:hAnsi="Verdana"/>
          <w:sz w:val="20"/>
          <w:szCs w:val="20"/>
        </w:rPr>
        <w:t xml:space="preserve">alla dichiarazione relativa </w:t>
      </w:r>
      <w:r w:rsidR="00693029" w:rsidRPr="00473DD7">
        <w:rPr>
          <w:rFonts w:ascii="Verdana" w:hAnsi="Verdana"/>
          <w:sz w:val="20"/>
          <w:szCs w:val="20"/>
        </w:rPr>
        <w:t xml:space="preserve">alla avvenuta utilizzazione </w:t>
      </w:r>
      <w:r w:rsidR="00C34256" w:rsidRPr="00473DD7">
        <w:rPr>
          <w:rFonts w:ascii="Verdana" w:hAnsi="Verdana"/>
          <w:sz w:val="20"/>
          <w:szCs w:val="20"/>
        </w:rPr>
        <w:t>del</w:t>
      </w:r>
      <w:r w:rsidR="0019678A" w:rsidRPr="00473DD7">
        <w:rPr>
          <w:rFonts w:ascii="Verdana" w:hAnsi="Verdana"/>
          <w:sz w:val="20"/>
          <w:szCs w:val="20"/>
        </w:rPr>
        <w:t>le ferie,</w:t>
      </w:r>
      <w:r w:rsidR="00693029" w:rsidRPr="00473DD7">
        <w:rPr>
          <w:rFonts w:ascii="Verdana" w:hAnsi="Verdana"/>
          <w:sz w:val="20"/>
          <w:szCs w:val="20"/>
        </w:rPr>
        <w:t xml:space="preserve"> </w:t>
      </w:r>
      <w:r w:rsidR="0019678A" w:rsidRPr="00473DD7">
        <w:rPr>
          <w:rFonts w:ascii="Verdana" w:hAnsi="Verdana"/>
          <w:sz w:val="20"/>
          <w:szCs w:val="20"/>
        </w:rPr>
        <w:t xml:space="preserve">permessi e ferie residui </w:t>
      </w:r>
      <w:r w:rsidR="00C34256" w:rsidRPr="00473DD7">
        <w:rPr>
          <w:rFonts w:ascii="Verdana" w:hAnsi="Verdana"/>
          <w:sz w:val="20"/>
          <w:szCs w:val="20"/>
        </w:rPr>
        <w:t>dei</w:t>
      </w:r>
      <w:r w:rsidR="0019678A" w:rsidRPr="00473DD7">
        <w:rPr>
          <w:rFonts w:ascii="Verdana" w:hAnsi="Verdana"/>
          <w:sz w:val="20"/>
          <w:szCs w:val="20"/>
        </w:rPr>
        <w:t xml:space="preserve"> dipendenti a riduzione oraria, </w:t>
      </w:r>
      <w:r w:rsidR="00C34256" w:rsidRPr="00473DD7">
        <w:rPr>
          <w:rFonts w:ascii="Verdana" w:hAnsi="Verdana"/>
          <w:sz w:val="20"/>
          <w:szCs w:val="20"/>
        </w:rPr>
        <w:t>che dalla medesima dichiarazione si</w:t>
      </w:r>
      <w:r w:rsidR="0019678A" w:rsidRPr="00473DD7">
        <w:rPr>
          <w:rFonts w:ascii="Verdana" w:hAnsi="Verdana"/>
          <w:sz w:val="20"/>
          <w:szCs w:val="20"/>
        </w:rPr>
        <w:t xml:space="preserve"> deve evincere</w:t>
      </w:r>
      <w:r w:rsidR="00C34256" w:rsidRPr="00473DD7">
        <w:rPr>
          <w:rFonts w:ascii="Verdana" w:hAnsi="Verdana"/>
          <w:sz w:val="20"/>
          <w:szCs w:val="20"/>
        </w:rPr>
        <w:t xml:space="preserve"> inequivocabilmente</w:t>
      </w:r>
      <w:r w:rsidR="0019678A" w:rsidRPr="00473DD7">
        <w:rPr>
          <w:rFonts w:ascii="Verdana" w:hAnsi="Verdana"/>
          <w:sz w:val="20"/>
          <w:szCs w:val="20"/>
        </w:rPr>
        <w:t xml:space="preserve"> che le ferie maturate devono essere godute al momento dell’avvio del</w:t>
      </w:r>
      <w:r w:rsidR="00036CD7" w:rsidRPr="00473DD7">
        <w:rPr>
          <w:rFonts w:ascii="Verdana" w:hAnsi="Verdana"/>
          <w:sz w:val="20"/>
          <w:szCs w:val="20"/>
        </w:rPr>
        <w:t>la cassa integrazione in deroga</w:t>
      </w:r>
      <w:r w:rsidR="00541E3B">
        <w:rPr>
          <w:rFonts w:ascii="Verdana" w:hAnsi="Verdana"/>
          <w:sz w:val="20"/>
          <w:szCs w:val="20"/>
        </w:rPr>
        <w:t>,</w:t>
      </w:r>
      <w:r w:rsidR="00036CD7" w:rsidRPr="00473DD7">
        <w:rPr>
          <w:rFonts w:ascii="Verdana" w:hAnsi="Verdana"/>
          <w:sz w:val="20"/>
          <w:szCs w:val="20"/>
        </w:rPr>
        <w:t xml:space="preserve"> quale che sia la data in cui viene resa la dichiarazione.</w:t>
      </w:r>
    </w:p>
    <w:p w14:paraId="0755CE48" w14:textId="77777777" w:rsidR="0019678A" w:rsidRPr="00917549" w:rsidRDefault="0019678A" w:rsidP="007F7A62">
      <w:pPr>
        <w:spacing w:after="100" w:afterAutospacing="1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14:paraId="01D74A45" w14:textId="77777777" w:rsidR="00157752" w:rsidRDefault="007F7A62" w:rsidP="007F7A62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  <w:b/>
          <w:sz w:val="20"/>
          <w:szCs w:val="20"/>
        </w:rPr>
      </w:pPr>
      <w:r w:rsidRPr="007F7A62">
        <w:rPr>
          <w:rFonts w:ascii="Verdana" w:hAnsi="Verdana" w:cs="Arial"/>
          <w:b/>
          <w:sz w:val="20"/>
          <w:szCs w:val="20"/>
        </w:rPr>
        <w:t>Mobilita in deroga:</w:t>
      </w:r>
    </w:p>
    <w:p w14:paraId="3B48EFB1" w14:textId="77777777" w:rsidR="007F7A62" w:rsidRDefault="007F7A62" w:rsidP="007F7A62">
      <w:pPr>
        <w:pStyle w:val="Paragrafoelenco"/>
        <w:jc w:val="both"/>
        <w:rPr>
          <w:rFonts w:ascii="Verdana" w:hAnsi="Verdana" w:cs="Arial"/>
          <w:b/>
          <w:sz w:val="20"/>
          <w:szCs w:val="20"/>
        </w:rPr>
      </w:pPr>
    </w:p>
    <w:p w14:paraId="78201CBC" w14:textId="1C981001" w:rsidR="000A0899" w:rsidRPr="007F7A62" w:rsidRDefault="00551EA3" w:rsidP="000A0899">
      <w:pPr>
        <w:spacing w:after="100" w:afterAutospacing="1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0A0899">
        <w:rPr>
          <w:rFonts w:ascii="Verdana" w:hAnsi="Verdana"/>
          <w:color w:val="000000"/>
          <w:sz w:val="20"/>
          <w:szCs w:val="20"/>
          <w:u w:val="single"/>
        </w:rPr>
        <w:t>Con riferimento all’anno 2012,</w:t>
      </w:r>
      <w:r>
        <w:rPr>
          <w:rFonts w:ascii="Verdana" w:hAnsi="Verdana"/>
          <w:color w:val="000000"/>
          <w:sz w:val="20"/>
          <w:szCs w:val="20"/>
        </w:rPr>
        <w:t xml:space="preserve"> i lavorator</w:t>
      </w:r>
      <w:r w:rsidR="00980322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 non ammes</w:t>
      </w:r>
      <w:r w:rsidR="00980322">
        <w:rPr>
          <w:rFonts w:ascii="Verdana" w:hAnsi="Verdana"/>
          <w:color w:val="000000"/>
          <w:sz w:val="20"/>
          <w:szCs w:val="20"/>
        </w:rPr>
        <w:t>si</w:t>
      </w:r>
      <w:r>
        <w:rPr>
          <w:rFonts w:ascii="Verdana" w:hAnsi="Verdana"/>
          <w:color w:val="000000"/>
          <w:sz w:val="20"/>
          <w:szCs w:val="20"/>
        </w:rPr>
        <w:t xml:space="preserve"> a fruire del trattamento di </w:t>
      </w:r>
      <w:r w:rsidR="000A0899">
        <w:rPr>
          <w:rFonts w:ascii="Verdana" w:hAnsi="Verdana"/>
          <w:color w:val="000000"/>
          <w:sz w:val="20"/>
          <w:szCs w:val="20"/>
        </w:rPr>
        <w:t>M</w:t>
      </w:r>
      <w:r>
        <w:rPr>
          <w:rFonts w:ascii="Verdana" w:hAnsi="Verdana"/>
          <w:color w:val="000000"/>
          <w:sz w:val="20"/>
          <w:szCs w:val="20"/>
        </w:rPr>
        <w:t>obilità in deroga</w:t>
      </w:r>
      <w:r w:rsidRPr="00551EA3">
        <w:rPr>
          <w:rFonts w:ascii="Verdana" w:hAnsi="Verdana"/>
          <w:color w:val="000000"/>
          <w:sz w:val="20"/>
          <w:szCs w:val="20"/>
        </w:rPr>
        <w:t xml:space="preserve"> </w:t>
      </w:r>
      <w:r w:rsidR="00980322">
        <w:rPr>
          <w:rFonts w:ascii="Verdana" w:hAnsi="Verdana"/>
          <w:color w:val="000000"/>
          <w:sz w:val="20"/>
          <w:szCs w:val="20"/>
        </w:rPr>
        <w:t>potranno</w:t>
      </w:r>
      <w:r w:rsidR="000A0899">
        <w:rPr>
          <w:rFonts w:ascii="Verdana" w:hAnsi="Verdana"/>
          <w:color w:val="000000"/>
          <w:sz w:val="20"/>
          <w:szCs w:val="20"/>
        </w:rPr>
        <w:t xml:space="preserve"> </w:t>
      </w:r>
      <w:r w:rsidRPr="00551EA3">
        <w:rPr>
          <w:rFonts w:ascii="Verdana" w:hAnsi="Verdana"/>
          <w:color w:val="000000"/>
          <w:sz w:val="20"/>
          <w:szCs w:val="20"/>
        </w:rPr>
        <w:t xml:space="preserve">proporre riesame in via amministrativa al Dirigente del Servizio Politiche </w:t>
      </w:r>
      <w:r w:rsidRPr="00551EA3">
        <w:rPr>
          <w:rFonts w:ascii="Verdana" w:hAnsi="Verdana"/>
          <w:color w:val="000000"/>
          <w:sz w:val="20"/>
          <w:szCs w:val="20"/>
        </w:rPr>
        <w:lastRenderedPageBreak/>
        <w:t>per il Lavoro</w:t>
      </w:r>
      <w:r w:rsidR="000A0899" w:rsidRPr="000A089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A0899" w:rsidRPr="007F7A62">
        <w:rPr>
          <w:rFonts w:ascii="Verdana" w:hAnsi="Verdana"/>
          <w:b/>
          <w:color w:val="000000"/>
          <w:sz w:val="20"/>
          <w:szCs w:val="20"/>
          <w:u w:val="single"/>
        </w:rPr>
        <w:t xml:space="preserve">entro e non oltre il 31 </w:t>
      </w:r>
      <w:r w:rsidR="000A0899">
        <w:rPr>
          <w:rFonts w:ascii="Verdana" w:hAnsi="Verdana"/>
          <w:b/>
          <w:color w:val="000000"/>
          <w:sz w:val="20"/>
          <w:szCs w:val="20"/>
          <w:u w:val="single"/>
        </w:rPr>
        <w:t>dicembre</w:t>
      </w:r>
      <w:r w:rsidR="000A0899" w:rsidRPr="007F7A62">
        <w:rPr>
          <w:rFonts w:ascii="Verdana" w:hAnsi="Verdana"/>
          <w:b/>
          <w:color w:val="000000"/>
          <w:sz w:val="20"/>
          <w:szCs w:val="20"/>
          <w:u w:val="single"/>
        </w:rPr>
        <w:t xml:space="preserve"> 2013</w:t>
      </w:r>
      <w:r w:rsidR="000A0899">
        <w:rPr>
          <w:rFonts w:ascii="Verdana" w:hAnsi="Verdana"/>
          <w:b/>
          <w:color w:val="000000"/>
          <w:sz w:val="20"/>
          <w:szCs w:val="20"/>
          <w:u w:val="single"/>
        </w:rPr>
        <w:t>.</w:t>
      </w:r>
      <w:r w:rsidR="000A0899" w:rsidRPr="0098032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A0899">
        <w:rPr>
          <w:rFonts w:ascii="Verdana" w:hAnsi="Verdana"/>
          <w:color w:val="000000"/>
          <w:sz w:val="20"/>
          <w:szCs w:val="20"/>
        </w:rPr>
        <w:t>Decorso</w:t>
      </w:r>
      <w:r w:rsidR="00917549">
        <w:rPr>
          <w:rFonts w:ascii="Verdana" w:hAnsi="Verdana"/>
          <w:color w:val="000000"/>
          <w:sz w:val="20"/>
          <w:szCs w:val="20"/>
        </w:rPr>
        <w:t xml:space="preserve"> inutilmente</w:t>
      </w:r>
      <w:r w:rsidR="000A0899" w:rsidRPr="007F7A62">
        <w:rPr>
          <w:rFonts w:ascii="Verdana" w:hAnsi="Verdana"/>
          <w:color w:val="000000"/>
          <w:sz w:val="20"/>
          <w:szCs w:val="20"/>
        </w:rPr>
        <w:t xml:space="preserve"> </w:t>
      </w:r>
      <w:r w:rsidR="000A0899">
        <w:rPr>
          <w:rFonts w:ascii="Verdana" w:hAnsi="Verdana"/>
          <w:color w:val="000000"/>
          <w:sz w:val="20"/>
          <w:szCs w:val="20"/>
        </w:rPr>
        <w:t>ta</w:t>
      </w:r>
      <w:r w:rsidR="000A0899" w:rsidRPr="007F7A62">
        <w:rPr>
          <w:rFonts w:ascii="Verdana" w:hAnsi="Verdana"/>
          <w:color w:val="000000"/>
          <w:sz w:val="20"/>
          <w:szCs w:val="20"/>
        </w:rPr>
        <w:t>le</w:t>
      </w:r>
      <w:r w:rsidR="000A0899">
        <w:rPr>
          <w:rFonts w:ascii="Verdana" w:hAnsi="Verdana"/>
          <w:color w:val="000000"/>
          <w:sz w:val="20"/>
          <w:szCs w:val="20"/>
        </w:rPr>
        <w:t xml:space="preserve"> termine</w:t>
      </w:r>
      <w:r w:rsidR="000A0899" w:rsidRPr="007F7A62">
        <w:rPr>
          <w:rFonts w:ascii="Verdana" w:hAnsi="Verdana"/>
          <w:color w:val="000000"/>
          <w:sz w:val="20"/>
          <w:szCs w:val="20"/>
        </w:rPr>
        <w:t xml:space="preserve"> </w:t>
      </w:r>
      <w:r w:rsidR="00AC3EB3">
        <w:rPr>
          <w:rFonts w:ascii="Verdana" w:hAnsi="Verdana"/>
          <w:color w:val="000000"/>
          <w:sz w:val="20"/>
          <w:szCs w:val="20"/>
        </w:rPr>
        <w:t>le istanze</w:t>
      </w:r>
      <w:r w:rsidR="000A0899" w:rsidRPr="007F7A62">
        <w:rPr>
          <w:rFonts w:ascii="Verdana" w:hAnsi="Verdana"/>
          <w:color w:val="000000"/>
          <w:sz w:val="20"/>
          <w:szCs w:val="20"/>
        </w:rPr>
        <w:t xml:space="preserve"> si intende</w:t>
      </w:r>
      <w:r w:rsidR="00980322">
        <w:rPr>
          <w:rFonts w:ascii="Verdana" w:hAnsi="Verdana"/>
          <w:color w:val="000000"/>
          <w:sz w:val="20"/>
          <w:szCs w:val="20"/>
        </w:rPr>
        <w:t>ranno respinte</w:t>
      </w:r>
      <w:r w:rsidR="000A0899" w:rsidRPr="007F7A62">
        <w:rPr>
          <w:rFonts w:ascii="Verdana" w:hAnsi="Verdana"/>
          <w:color w:val="000000"/>
          <w:sz w:val="20"/>
          <w:szCs w:val="20"/>
        </w:rPr>
        <w:t xml:space="preserve"> definitivamente.</w:t>
      </w:r>
    </w:p>
    <w:p w14:paraId="02FB5B6D" w14:textId="77777777" w:rsidR="00551EA3" w:rsidRPr="00551EA3" w:rsidRDefault="00551EA3" w:rsidP="000A0899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551EA3">
        <w:rPr>
          <w:rFonts w:ascii="Verdana" w:hAnsi="Verdana"/>
          <w:color w:val="000000"/>
          <w:sz w:val="20"/>
          <w:szCs w:val="20"/>
        </w:rPr>
        <w:t xml:space="preserve"> </w:t>
      </w:r>
    </w:p>
    <w:p w14:paraId="11C36ADB" w14:textId="77777777" w:rsidR="007F7A62" w:rsidRPr="00541E3B" w:rsidRDefault="007F7A62" w:rsidP="00541E3B">
      <w:pPr>
        <w:jc w:val="both"/>
        <w:rPr>
          <w:rFonts w:ascii="Verdana" w:hAnsi="Verdana" w:cs="Arial"/>
          <w:b/>
          <w:sz w:val="20"/>
          <w:szCs w:val="20"/>
        </w:rPr>
      </w:pPr>
    </w:p>
    <w:p w14:paraId="10E718DF" w14:textId="77777777" w:rsidR="00D72F5A" w:rsidRPr="00575330" w:rsidRDefault="00D72F5A" w:rsidP="007769DD">
      <w:p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Ba</w:t>
      </w:r>
      <w:r w:rsidR="00711469" w:rsidRPr="00575330">
        <w:rPr>
          <w:rFonts w:ascii="Verdana" w:hAnsi="Verdana" w:cs="Arial"/>
          <w:sz w:val="20"/>
          <w:szCs w:val="20"/>
        </w:rPr>
        <w:t xml:space="preserve">ri, lì </w:t>
      </w:r>
      <w:r w:rsidR="002E7F87">
        <w:rPr>
          <w:rFonts w:ascii="Verdana" w:hAnsi="Verdana" w:cs="Arial"/>
          <w:sz w:val="20"/>
          <w:szCs w:val="20"/>
        </w:rPr>
        <w:t>19</w:t>
      </w:r>
      <w:r w:rsidR="00F120FC" w:rsidRPr="00575330">
        <w:rPr>
          <w:rFonts w:ascii="Verdana" w:hAnsi="Verdana" w:cs="Arial"/>
          <w:sz w:val="20"/>
          <w:szCs w:val="20"/>
        </w:rPr>
        <w:t xml:space="preserve"> </w:t>
      </w:r>
      <w:r w:rsidR="002E7F87">
        <w:rPr>
          <w:rFonts w:ascii="Verdana" w:hAnsi="Verdana" w:cs="Arial"/>
          <w:sz w:val="20"/>
          <w:szCs w:val="20"/>
        </w:rPr>
        <w:t>dicembre</w:t>
      </w:r>
      <w:r w:rsidR="00F120FC" w:rsidRPr="00575330">
        <w:rPr>
          <w:rFonts w:ascii="Verdana" w:hAnsi="Verdana" w:cs="Arial"/>
          <w:sz w:val="20"/>
          <w:szCs w:val="20"/>
        </w:rPr>
        <w:t xml:space="preserve"> </w:t>
      </w:r>
      <w:r w:rsidRPr="00575330">
        <w:rPr>
          <w:rFonts w:ascii="Verdana" w:hAnsi="Verdana" w:cs="Arial"/>
          <w:sz w:val="20"/>
          <w:szCs w:val="20"/>
        </w:rPr>
        <w:t>2013.</w:t>
      </w:r>
    </w:p>
    <w:p w14:paraId="0CB1D72A" w14:textId="77777777" w:rsidR="00E73DF8" w:rsidRPr="00575330" w:rsidRDefault="00C060FF" w:rsidP="007769DD">
      <w:pPr>
        <w:jc w:val="both"/>
        <w:rPr>
          <w:rFonts w:ascii="Verdana" w:hAnsi="Verdana" w:cs="Arial"/>
          <w:sz w:val="20"/>
          <w:szCs w:val="20"/>
        </w:rPr>
      </w:pPr>
      <w:r w:rsidRPr="00575330">
        <w:rPr>
          <w:rFonts w:ascii="Verdana" w:hAnsi="Verdana" w:cs="Arial"/>
          <w:sz w:val="20"/>
          <w:szCs w:val="20"/>
        </w:rPr>
        <w:t>Letto, confermato e sottoscritto</w:t>
      </w:r>
    </w:p>
    <w:sectPr w:rsidR="00E73DF8" w:rsidRPr="00575330" w:rsidSect="009B46CB">
      <w:pgSz w:w="11900" w:h="16840"/>
      <w:pgMar w:top="1276" w:right="84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8BE"/>
    <w:multiLevelType w:val="hybridMultilevel"/>
    <w:tmpl w:val="D5DAC658"/>
    <w:lvl w:ilvl="0" w:tplc="C7C0A5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5BF01DF"/>
    <w:multiLevelType w:val="hybridMultilevel"/>
    <w:tmpl w:val="DF6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66B9"/>
    <w:multiLevelType w:val="hybridMultilevel"/>
    <w:tmpl w:val="37309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1AF7"/>
    <w:multiLevelType w:val="hybridMultilevel"/>
    <w:tmpl w:val="A8D6BA6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8"/>
    <w:rsid w:val="00036CD7"/>
    <w:rsid w:val="000553FF"/>
    <w:rsid w:val="00062D01"/>
    <w:rsid w:val="000A0899"/>
    <w:rsid w:val="00100D35"/>
    <w:rsid w:val="001043AE"/>
    <w:rsid w:val="001168BB"/>
    <w:rsid w:val="00131438"/>
    <w:rsid w:val="00143C4B"/>
    <w:rsid w:val="00157752"/>
    <w:rsid w:val="00162C52"/>
    <w:rsid w:val="0019678A"/>
    <w:rsid w:val="00196D4B"/>
    <w:rsid w:val="001E02FB"/>
    <w:rsid w:val="002D7EFC"/>
    <w:rsid w:val="002E7F87"/>
    <w:rsid w:val="00351779"/>
    <w:rsid w:val="003529A8"/>
    <w:rsid w:val="00366E89"/>
    <w:rsid w:val="003B2DB6"/>
    <w:rsid w:val="003E3A45"/>
    <w:rsid w:val="0041371D"/>
    <w:rsid w:val="00473DD7"/>
    <w:rsid w:val="00491A92"/>
    <w:rsid w:val="00491D5A"/>
    <w:rsid w:val="004C2783"/>
    <w:rsid w:val="005075E8"/>
    <w:rsid w:val="00534947"/>
    <w:rsid w:val="00541AFB"/>
    <w:rsid w:val="00541E3B"/>
    <w:rsid w:val="00551EA3"/>
    <w:rsid w:val="00566419"/>
    <w:rsid w:val="00575330"/>
    <w:rsid w:val="005C3E78"/>
    <w:rsid w:val="005D4A6D"/>
    <w:rsid w:val="005E3534"/>
    <w:rsid w:val="0062567B"/>
    <w:rsid w:val="0066076E"/>
    <w:rsid w:val="00683770"/>
    <w:rsid w:val="00693029"/>
    <w:rsid w:val="006B6A6E"/>
    <w:rsid w:val="006F78C2"/>
    <w:rsid w:val="00711469"/>
    <w:rsid w:val="00726C12"/>
    <w:rsid w:val="00727157"/>
    <w:rsid w:val="007538A1"/>
    <w:rsid w:val="007769DD"/>
    <w:rsid w:val="00783912"/>
    <w:rsid w:val="00793526"/>
    <w:rsid w:val="007A0AB3"/>
    <w:rsid w:val="007B7E59"/>
    <w:rsid w:val="007D35E2"/>
    <w:rsid w:val="007D3F90"/>
    <w:rsid w:val="007D7A63"/>
    <w:rsid w:val="007F7A62"/>
    <w:rsid w:val="0082531E"/>
    <w:rsid w:val="008F57AE"/>
    <w:rsid w:val="00905C03"/>
    <w:rsid w:val="00917549"/>
    <w:rsid w:val="009405DE"/>
    <w:rsid w:val="00954312"/>
    <w:rsid w:val="00966A13"/>
    <w:rsid w:val="00980322"/>
    <w:rsid w:val="009B46CB"/>
    <w:rsid w:val="009C543A"/>
    <w:rsid w:val="009C62D3"/>
    <w:rsid w:val="009F3732"/>
    <w:rsid w:val="00A17BD3"/>
    <w:rsid w:val="00AA5474"/>
    <w:rsid w:val="00AC3EB3"/>
    <w:rsid w:val="00AD11D5"/>
    <w:rsid w:val="00AE1701"/>
    <w:rsid w:val="00B21534"/>
    <w:rsid w:val="00B2389C"/>
    <w:rsid w:val="00B37D84"/>
    <w:rsid w:val="00B57892"/>
    <w:rsid w:val="00BB211D"/>
    <w:rsid w:val="00C060FF"/>
    <w:rsid w:val="00C1636B"/>
    <w:rsid w:val="00C2212F"/>
    <w:rsid w:val="00C34256"/>
    <w:rsid w:val="00C619A2"/>
    <w:rsid w:val="00C824FE"/>
    <w:rsid w:val="00CB6F79"/>
    <w:rsid w:val="00CD3AB4"/>
    <w:rsid w:val="00CD4088"/>
    <w:rsid w:val="00CE5156"/>
    <w:rsid w:val="00CF5BFA"/>
    <w:rsid w:val="00D25D07"/>
    <w:rsid w:val="00D32F76"/>
    <w:rsid w:val="00D50262"/>
    <w:rsid w:val="00D55442"/>
    <w:rsid w:val="00D62833"/>
    <w:rsid w:val="00D72F5A"/>
    <w:rsid w:val="00D845AB"/>
    <w:rsid w:val="00D86380"/>
    <w:rsid w:val="00D95B60"/>
    <w:rsid w:val="00DA0DCE"/>
    <w:rsid w:val="00E541B7"/>
    <w:rsid w:val="00E73DF8"/>
    <w:rsid w:val="00EA6ACB"/>
    <w:rsid w:val="00ED064C"/>
    <w:rsid w:val="00EF5E87"/>
    <w:rsid w:val="00F120FC"/>
    <w:rsid w:val="00F217B2"/>
    <w:rsid w:val="00F84EE1"/>
    <w:rsid w:val="00F87E00"/>
    <w:rsid w:val="00FC5553"/>
    <w:rsid w:val="00FD1338"/>
    <w:rsid w:val="00FE3F30"/>
    <w:rsid w:val="00FF2D91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84826"/>
  <w15:docId w15:val="{F720B0BE-B084-4A8E-8A0A-2EEC1D5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5E8"/>
    <w:pPr>
      <w:spacing w:after="0"/>
    </w:pPr>
    <w:rPr>
      <w:rFonts w:ascii="Times New Roman" w:eastAsia="Calibr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7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75E8"/>
    <w:rPr>
      <w:rFonts w:ascii="Times New Roman" w:eastAsia="Calibri" w:hAnsi="Times New Roman" w:cs="Times New Roman"/>
      <w:lang w:eastAsia="it-IT"/>
    </w:rPr>
  </w:style>
  <w:style w:type="paragraph" w:styleId="Didascalia">
    <w:name w:val="caption"/>
    <w:basedOn w:val="Normale"/>
    <w:next w:val="Normale"/>
    <w:qFormat/>
    <w:rsid w:val="005075E8"/>
    <w:pPr>
      <w:keepNext/>
      <w:keepLines/>
      <w:framePr w:hSpace="141" w:wrap="around" w:vAnchor="text" w:hAnchor="page" w:x="235" w:y="-1369"/>
      <w:tabs>
        <w:tab w:val="left" w:pos="1985"/>
      </w:tabs>
      <w:spacing w:line="240" w:lineRule="atLeast"/>
      <w:ind w:left="567"/>
      <w:jc w:val="center"/>
    </w:pPr>
    <w:rPr>
      <w:b/>
      <w:i/>
      <w:sz w:val="6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5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5E8"/>
    <w:rPr>
      <w:rFonts w:ascii="Lucida Grande" w:eastAsia="Calibri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5B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Massimo Di Cesare</cp:lastModifiedBy>
  <cp:revision>2</cp:revision>
  <cp:lastPrinted>2013-10-02T12:02:00Z</cp:lastPrinted>
  <dcterms:created xsi:type="dcterms:W3CDTF">2014-01-07T14:21:00Z</dcterms:created>
  <dcterms:modified xsi:type="dcterms:W3CDTF">2014-01-07T14:21:00Z</dcterms:modified>
</cp:coreProperties>
</file>